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吉林地区裁判文书上网情况统计表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lang w:val="en-US" w:eastAsia="zh-CN" w:bidi="ar"/>
        </w:rPr>
        <w:t>（2019年1月1日至2019年10月31日期间上传，数据来源于中国裁判文书网）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96"/>
        <w:gridCol w:w="916"/>
        <w:gridCol w:w="1005"/>
        <w:gridCol w:w="177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法院</w:t>
            </w:r>
          </w:p>
        </w:tc>
        <w:tc>
          <w:tcPr>
            <w:tcW w:w="8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上网数</w:t>
            </w:r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结案数</w:t>
            </w:r>
          </w:p>
        </w:tc>
        <w:tc>
          <w:tcPr>
            <w:tcW w:w="17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经审批不上网数</w:t>
            </w:r>
          </w:p>
        </w:tc>
        <w:tc>
          <w:tcPr>
            <w:tcW w:w="16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吉林市中级人民法院及下辖法院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45868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62724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7374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82.87% </w:t>
            </w:r>
          </w:p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7DE3"/>
    <w:rsid w:val="58B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2019-11-28T00:38:00Z</dcterms:created>
  <dc:creator>熊二无敌</dc:creator>
  <cp:lastModifiedBy>熊二无敌</cp:lastModifiedBy>
  <dcterms:modified xsi:type="dcterms:W3CDTF">2019-11-28T00:43:30Z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